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D3" w:rsidRPr="00FA1AD3" w:rsidRDefault="00FA1AD3">
      <w:pPr>
        <w:rPr>
          <w:rFonts w:ascii="Arial" w:hAnsi="Arial" w:cs="Arial"/>
          <w:b/>
          <w:sz w:val="20"/>
          <w:szCs w:val="20"/>
        </w:rPr>
      </w:pPr>
      <w:r w:rsidRPr="00FA1AD3">
        <w:rPr>
          <w:rFonts w:ascii="Arial" w:hAnsi="Arial" w:cs="Arial"/>
          <w:b/>
          <w:sz w:val="20"/>
          <w:szCs w:val="20"/>
        </w:rPr>
        <w:t>MAS: Explanation on profit after tax</w:t>
      </w:r>
    </w:p>
    <w:p w:rsidR="00713E65" w:rsidRDefault="00AD7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21</w:t>
      </w:r>
      <w:r w:rsidRPr="00AD779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April, 2017, </w:t>
      </w:r>
      <w:r w:rsidRPr="00AD7796">
        <w:rPr>
          <w:rFonts w:ascii="Arial" w:hAnsi="Arial" w:cs="Arial"/>
          <w:sz w:val="20"/>
          <w:szCs w:val="20"/>
        </w:rPr>
        <w:t>Danang Airport Service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="00FA1AD3">
        <w:rPr>
          <w:rFonts w:ascii="Arial" w:hAnsi="Arial" w:cs="Arial"/>
          <w:sz w:val="20"/>
          <w:szCs w:val="20"/>
        </w:rPr>
        <w:t>explained the difference on profit after tax year over year as follows:</w:t>
      </w:r>
      <w:bookmarkStart w:id="0" w:name="_GoBack"/>
      <w:bookmarkEnd w:id="0"/>
    </w:p>
    <w:p w:rsidR="00AD7796" w:rsidRDefault="00B74704">
      <w:pPr>
        <w:rPr>
          <w:rFonts w:ascii="Arial" w:hAnsi="Arial" w:cs="Arial"/>
          <w:sz w:val="20"/>
          <w:szCs w:val="20"/>
        </w:rPr>
      </w:pPr>
      <w:r w:rsidRPr="00B74704">
        <w:rPr>
          <w:rFonts w:ascii="Arial" w:hAnsi="Arial" w:cs="Arial"/>
          <w:sz w:val="20"/>
          <w:szCs w:val="20"/>
        </w:rPr>
        <w:t xml:space="preserve">According to the consolidated financial </w:t>
      </w:r>
      <w:r w:rsidR="00577FBD">
        <w:rPr>
          <w:rFonts w:ascii="Arial" w:hAnsi="Arial" w:cs="Arial"/>
          <w:sz w:val="20"/>
          <w:szCs w:val="20"/>
        </w:rPr>
        <w:t>statement</w:t>
      </w:r>
      <w:r w:rsidRPr="00B74704">
        <w:rPr>
          <w:rFonts w:ascii="Arial" w:hAnsi="Arial" w:cs="Arial"/>
          <w:sz w:val="20"/>
          <w:szCs w:val="20"/>
        </w:rPr>
        <w:t xml:space="preserve"> of </w:t>
      </w:r>
      <w:r w:rsidR="00577FBD">
        <w:rPr>
          <w:rFonts w:ascii="Arial" w:hAnsi="Arial" w:cs="Arial"/>
          <w:sz w:val="20"/>
          <w:szCs w:val="20"/>
        </w:rPr>
        <w:t>the 1</w:t>
      </w:r>
      <w:r w:rsidR="00577FBD" w:rsidRPr="00577FBD">
        <w:rPr>
          <w:rFonts w:ascii="Arial" w:hAnsi="Arial" w:cs="Arial"/>
          <w:sz w:val="20"/>
          <w:szCs w:val="20"/>
          <w:vertAlign w:val="superscript"/>
        </w:rPr>
        <w:t>st</w:t>
      </w:r>
      <w:r w:rsidR="00577FBD">
        <w:rPr>
          <w:rFonts w:ascii="Arial" w:hAnsi="Arial" w:cs="Arial"/>
          <w:sz w:val="20"/>
          <w:szCs w:val="20"/>
        </w:rPr>
        <w:t xml:space="preserve"> q</w:t>
      </w:r>
      <w:r w:rsidRPr="00B74704">
        <w:rPr>
          <w:rFonts w:ascii="Arial" w:hAnsi="Arial" w:cs="Arial"/>
          <w:sz w:val="20"/>
          <w:szCs w:val="20"/>
        </w:rPr>
        <w:t xml:space="preserve">uarter </w:t>
      </w:r>
      <w:r w:rsidR="00577FBD" w:rsidRPr="00577FBD">
        <w:rPr>
          <w:rFonts w:ascii="Arial" w:hAnsi="Arial" w:cs="Arial"/>
          <w:sz w:val="20"/>
          <w:szCs w:val="20"/>
        </w:rPr>
        <w:t>as</w:t>
      </w:r>
      <w:r w:rsidR="00577FBD">
        <w:rPr>
          <w:rFonts w:ascii="Arial" w:hAnsi="Arial" w:cs="Arial"/>
          <w:sz w:val="20"/>
          <w:szCs w:val="20"/>
        </w:rPr>
        <w:t xml:space="preserve"> </w:t>
      </w:r>
      <w:r w:rsidR="00577FBD" w:rsidRPr="00577FBD">
        <w:rPr>
          <w:rFonts w:ascii="Arial" w:hAnsi="Arial" w:cs="Arial"/>
          <w:sz w:val="20"/>
          <w:szCs w:val="20"/>
        </w:rPr>
        <w:t>of</w:t>
      </w:r>
      <w:r w:rsidRPr="00B74704">
        <w:rPr>
          <w:rFonts w:ascii="Arial" w:hAnsi="Arial" w:cs="Arial"/>
          <w:sz w:val="20"/>
          <w:szCs w:val="20"/>
        </w:rPr>
        <w:t xml:space="preserve"> </w:t>
      </w:r>
      <w:r w:rsidR="00A62517">
        <w:rPr>
          <w:rFonts w:ascii="Arial" w:hAnsi="Arial" w:cs="Arial"/>
          <w:sz w:val="20"/>
          <w:szCs w:val="20"/>
        </w:rPr>
        <w:t>31</w:t>
      </w:r>
      <w:r w:rsidR="00A62517" w:rsidRPr="00A62517">
        <w:rPr>
          <w:rFonts w:ascii="Arial" w:hAnsi="Arial" w:cs="Arial"/>
          <w:sz w:val="20"/>
          <w:szCs w:val="20"/>
          <w:vertAlign w:val="superscript"/>
        </w:rPr>
        <w:t>st</w:t>
      </w:r>
      <w:r w:rsidR="00A62517">
        <w:rPr>
          <w:rFonts w:ascii="Arial" w:hAnsi="Arial" w:cs="Arial"/>
          <w:sz w:val="20"/>
          <w:szCs w:val="20"/>
        </w:rPr>
        <w:t xml:space="preserve"> </w:t>
      </w:r>
      <w:r w:rsidRPr="00B74704">
        <w:rPr>
          <w:rFonts w:ascii="Arial" w:hAnsi="Arial" w:cs="Arial"/>
          <w:sz w:val="20"/>
          <w:szCs w:val="20"/>
        </w:rPr>
        <w:t>March, 201</w:t>
      </w:r>
      <w:r w:rsidR="00A62517">
        <w:rPr>
          <w:rFonts w:ascii="Arial" w:hAnsi="Arial" w:cs="Arial"/>
          <w:sz w:val="20"/>
          <w:szCs w:val="20"/>
        </w:rPr>
        <w:t>7</w:t>
      </w:r>
      <w:r w:rsidRPr="00B74704">
        <w:rPr>
          <w:rFonts w:ascii="Arial" w:hAnsi="Arial" w:cs="Arial"/>
          <w:sz w:val="20"/>
          <w:szCs w:val="20"/>
        </w:rPr>
        <w:t xml:space="preserve">, the </w:t>
      </w:r>
      <w:r w:rsidR="00A62517">
        <w:rPr>
          <w:rFonts w:ascii="Arial" w:hAnsi="Arial" w:cs="Arial"/>
          <w:sz w:val="20"/>
          <w:szCs w:val="20"/>
        </w:rPr>
        <w:t>realized</w:t>
      </w:r>
      <w:r w:rsidRPr="00B74704">
        <w:rPr>
          <w:rFonts w:ascii="Arial" w:hAnsi="Arial" w:cs="Arial"/>
          <w:sz w:val="20"/>
          <w:szCs w:val="20"/>
        </w:rPr>
        <w:t xml:space="preserve"> profit </w:t>
      </w:r>
      <w:r w:rsidR="00A62517">
        <w:rPr>
          <w:rFonts w:ascii="Arial" w:hAnsi="Arial" w:cs="Arial"/>
          <w:sz w:val="20"/>
          <w:szCs w:val="20"/>
        </w:rPr>
        <w:t xml:space="preserve">before tax </w:t>
      </w:r>
      <w:r w:rsidRPr="00B74704">
        <w:rPr>
          <w:rFonts w:ascii="Arial" w:hAnsi="Arial" w:cs="Arial"/>
          <w:sz w:val="20"/>
          <w:szCs w:val="20"/>
        </w:rPr>
        <w:t>of the first quarter of 2017 reached VND 23,538 million, 146.79% (</w:t>
      </w:r>
      <w:r w:rsidR="00A62517">
        <w:rPr>
          <w:rFonts w:ascii="Arial" w:hAnsi="Arial" w:cs="Arial"/>
          <w:sz w:val="20"/>
          <w:szCs w:val="20"/>
        </w:rPr>
        <w:t xml:space="preserve">increasing </w:t>
      </w:r>
      <w:r w:rsidRPr="00B74704">
        <w:rPr>
          <w:rFonts w:ascii="Arial" w:hAnsi="Arial" w:cs="Arial"/>
          <w:sz w:val="20"/>
          <w:szCs w:val="20"/>
        </w:rPr>
        <w:t xml:space="preserve">46.79%) compared to the first quarter of 2016, the profit after tax </w:t>
      </w:r>
      <w:r w:rsidR="00A62517">
        <w:rPr>
          <w:rFonts w:ascii="Arial" w:hAnsi="Arial" w:cs="Arial"/>
          <w:sz w:val="20"/>
          <w:szCs w:val="20"/>
        </w:rPr>
        <w:t xml:space="preserve">reached </w:t>
      </w:r>
      <w:r w:rsidRPr="00B74704">
        <w:rPr>
          <w:rFonts w:ascii="Arial" w:hAnsi="Arial" w:cs="Arial"/>
          <w:sz w:val="20"/>
          <w:szCs w:val="20"/>
        </w:rPr>
        <w:t>146.52% (</w:t>
      </w:r>
      <w:r w:rsidR="00A62517">
        <w:rPr>
          <w:rFonts w:ascii="Arial" w:hAnsi="Arial" w:cs="Arial"/>
          <w:sz w:val="20"/>
          <w:szCs w:val="20"/>
        </w:rPr>
        <w:t>increasing 46.52%</w:t>
      </w:r>
      <w:r w:rsidRPr="00B74704">
        <w:rPr>
          <w:rFonts w:ascii="Arial" w:hAnsi="Arial" w:cs="Arial"/>
          <w:sz w:val="20"/>
          <w:szCs w:val="20"/>
        </w:rPr>
        <w:t xml:space="preserve">) compared </w:t>
      </w:r>
      <w:r w:rsidR="00A62517">
        <w:rPr>
          <w:rFonts w:ascii="Arial" w:hAnsi="Arial" w:cs="Arial"/>
          <w:sz w:val="20"/>
          <w:szCs w:val="20"/>
        </w:rPr>
        <w:t>to</w:t>
      </w:r>
      <w:r w:rsidRPr="00B74704">
        <w:rPr>
          <w:rFonts w:ascii="Arial" w:hAnsi="Arial" w:cs="Arial"/>
          <w:sz w:val="20"/>
          <w:szCs w:val="20"/>
        </w:rPr>
        <w:t xml:space="preserve"> the first quarter of 2016, the company</w:t>
      </w:r>
      <w:r w:rsidR="00A62517">
        <w:rPr>
          <w:rFonts w:ascii="Arial" w:hAnsi="Arial" w:cs="Arial"/>
          <w:sz w:val="20"/>
          <w:szCs w:val="20"/>
        </w:rPr>
        <w:t xml:space="preserve"> hereby</w:t>
      </w:r>
      <w:r w:rsidRPr="00B74704">
        <w:rPr>
          <w:rFonts w:ascii="Arial" w:hAnsi="Arial" w:cs="Arial"/>
          <w:sz w:val="20"/>
          <w:szCs w:val="20"/>
        </w:rPr>
        <w:t xml:space="preserve"> expla</w:t>
      </w:r>
      <w:r w:rsidR="00A62517">
        <w:rPr>
          <w:rFonts w:ascii="Arial" w:hAnsi="Arial" w:cs="Arial"/>
          <w:sz w:val="20"/>
          <w:szCs w:val="20"/>
        </w:rPr>
        <w:t>i</w:t>
      </w:r>
      <w:r w:rsidRPr="00B74704">
        <w:rPr>
          <w:rFonts w:ascii="Arial" w:hAnsi="Arial" w:cs="Arial"/>
          <w:sz w:val="20"/>
          <w:szCs w:val="20"/>
        </w:rPr>
        <w:t>n</w:t>
      </w:r>
      <w:r w:rsidR="00A62517">
        <w:rPr>
          <w:rFonts w:ascii="Arial" w:hAnsi="Arial" w:cs="Arial"/>
          <w:sz w:val="20"/>
          <w:szCs w:val="20"/>
        </w:rPr>
        <w:t>s</w:t>
      </w:r>
      <w:r w:rsidRPr="00B74704">
        <w:rPr>
          <w:rFonts w:ascii="Arial" w:hAnsi="Arial" w:cs="Arial"/>
          <w:sz w:val="20"/>
          <w:szCs w:val="20"/>
        </w:rPr>
        <w:t xml:space="preserve"> as follows:</w:t>
      </w:r>
    </w:p>
    <w:p w:rsidR="00B74704" w:rsidRDefault="00B74704" w:rsidP="00B7470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million VND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516"/>
        <w:gridCol w:w="1517"/>
        <w:gridCol w:w="1516"/>
        <w:gridCol w:w="1517"/>
      </w:tblGrid>
      <w:tr w:rsidR="00B74704" w:rsidTr="00B74704">
        <w:tc>
          <w:tcPr>
            <w:tcW w:w="3510" w:type="dxa"/>
            <w:vMerge w:val="restart"/>
            <w:vAlign w:val="center"/>
          </w:tcPr>
          <w:p w:rsidR="00B74704" w:rsidRDefault="00B74704" w:rsidP="00B74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1516" w:type="dxa"/>
            <w:vMerge w:val="restart"/>
            <w:vAlign w:val="center"/>
          </w:tcPr>
          <w:p w:rsidR="00B74704" w:rsidRDefault="00B74704" w:rsidP="00B74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7470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qu</w:t>
            </w:r>
            <w:r w:rsidRPr="00B74704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ter, 2017</w:t>
            </w:r>
          </w:p>
        </w:tc>
        <w:tc>
          <w:tcPr>
            <w:tcW w:w="1517" w:type="dxa"/>
            <w:vMerge w:val="restart"/>
            <w:vAlign w:val="center"/>
          </w:tcPr>
          <w:p w:rsidR="00B74704" w:rsidRDefault="00B74704" w:rsidP="00B74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7470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qu</w:t>
            </w:r>
            <w:r w:rsidRPr="00B74704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ter, 2016</w:t>
            </w:r>
          </w:p>
        </w:tc>
        <w:tc>
          <w:tcPr>
            <w:tcW w:w="3033" w:type="dxa"/>
            <w:gridSpan w:val="2"/>
            <w:vAlign w:val="center"/>
          </w:tcPr>
          <w:p w:rsidR="00B74704" w:rsidRDefault="00B74704" w:rsidP="00B74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74704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ference </w:t>
            </w:r>
            <w:r w:rsidRPr="00B74704">
              <w:rPr>
                <w:rFonts w:ascii="Arial" w:hAnsi="Arial" w:cs="Arial"/>
                <w:sz w:val="20"/>
                <w:szCs w:val="20"/>
              </w:rPr>
              <w:t>compared with the first quarter of 2016</w:t>
            </w:r>
          </w:p>
        </w:tc>
      </w:tr>
      <w:tr w:rsidR="00B74704" w:rsidTr="00B74704">
        <w:tc>
          <w:tcPr>
            <w:tcW w:w="3510" w:type="dxa"/>
            <w:vMerge/>
            <w:vAlign w:val="center"/>
          </w:tcPr>
          <w:p w:rsidR="00B74704" w:rsidRDefault="00B74704" w:rsidP="00B74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B74704" w:rsidRDefault="00B74704" w:rsidP="00B74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</w:tcPr>
          <w:p w:rsidR="00B74704" w:rsidRDefault="00B74704" w:rsidP="00B74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B74704" w:rsidRDefault="00B74704" w:rsidP="00B74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+/-</w:t>
            </w:r>
          </w:p>
        </w:tc>
        <w:tc>
          <w:tcPr>
            <w:tcW w:w="1517" w:type="dxa"/>
            <w:vAlign w:val="center"/>
          </w:tcPr>
          <w:p w:rsidR="00B74704" w:rsidRDefault="00B74704" w:rsidP="00B74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74704" w:rsidTr="00B74704">
        <w:tc>
          <w:tcPr>
            <w:tcW w:w="3510" w:type="dxa"/>
          </w:tcPr>
          <w:p w:rsidR="00B74704" w:rsidRDefault="00B74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realized revenue</w:t>
            </w:r>
          </w:p>
        </w:tc>
        <w:tc>
          <w:tcPr>
            <w:tcW w:w="1516" w:type="dxa"/>
          </w:tcPr>
          <w:p w:rsidR="00B74704" w:rsidRDefault="00D30FBC" w:rsidP="00B747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FBC"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30FBC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517" w:type="dxa"/>
          </w:tcPr>
          <w:p w:rsidR="00B74704" w:rsidRDefault="00D30FBC" w:rsidP="00B747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FBC">
              <w:rPr>
                <w:rFonts w:ascii="Arial" w:hAnsi="Arial" w:cs="Arial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30FBC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516" w:type="dxa"/>
          </w:tcPr>
          <w:p w:rsidR="00B74704" w:rsidRDefault="00D30FBC" w:rsidP="00B747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FBC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30FBC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1517" w:type="dxa"/>
          </w:tcPr>
          <w:p w:rsidR="00B74704" w:rsidRDefault="00D30FBC" w:rsidP="00B747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FBC">
              <w:rPr>
                <w:rFonts w:ascii="Arial" w:hAnsi="Arial" w:cs="Arial"/>
                <w:sz w:val="20"/>
                <w:szCs w:val="20"/>
              </w:rPr>
              <w:t>25.91</w:t>
            </w:r>
          </w:p>
        </w:tc>
      </w:tr>
      <w:tr w:rsidR="00B74704" w:rsidRPr="00D30FBC" w:rsidTr="00B74704">
        <w:tc>
          <w:tcPr>
            <w:tcW w:w="3510" w:type="dxa"/>
          </w:tcPr>
          <w:p w:rsidR="00B74704" w:rsidRPr="00D30FBC" w:rsidRDefault="00B74704" w:rsidP="00B747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30FBC">
              <w:rPr>
                <w:rFonts w:ascii="Arial" w:hAnsi="Arial" w:cs="Arial"/>
                <w:i/>
                <w:sz w:val="20"/>
                <w:szCs w:val="20"/>
              </w:rPr>
              <w:t>Net revenue from sale of goods and rendering of services</w:t>
            </w:r>
          </w:p>
        </w:tc>
        <w:tc>
          <w:tcPr>
            <w:tcW w:w="1516" w:type="dxa"/>
          </w:tcPr>
          <w:p w:rsidR="00B74704" w:rsidRPr="00D30FBC" w:rsidRDefault="00D30FBC" w:rsidP="00B7470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30FBC">
              <w:rPr>
                <w:rFonts w:ascii="Arial" w:hAnsi="Arial" w:cs="Arial"/>
                <w:i/>
                <w:sz w:val="20"/>
                <w:szCs w:val="20"/>
              </w:rPr>
              <w:t>87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30FBC">
              <w:rPr>
                <w:rFonts w:ascii="Arial" w:hAnsi="Arial" w:cs="Arial"/>
                <w:i/>
                <w:sz w:val="20"/>
                <w:szCs w:val="20"/>
              </w:rPr>
              <w:t>326</w:t>
            </w:r>
          </w:p>
        </w:tc>
        <w:tc>
          <w:tcPr>
            <w:tcW w:w="1517" w:type="dxa"/>
          </w:tcPr>
          <w:p w:rsidR="00B74704" w:rsidRPr="00D30FBC" w:rsidRDefault="00D30FBC" w:rsidP="00B7470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30FBC">
              <w:rPr>
                <w:rFonts w:ascii="Arial" w:hAnsi="Arial" w:cs="Arial"/>
                <w:i/>
                <w:sz w:val="20"/>
                <w:szCs w:val="20"/>
              </w:rPr>
              <w:t>66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30FBC">
              <w:rPr>
                <w:rFonts w:ascii="Arial" w:hAnsi="Arial" w:cs="Arial"/>
                <w:i/>
                <w:sz w:val="20"/>
                <w:szCs w:val="20"/>
              </w:rPr>
              <w:t>738</w:t>
            </w:r>
          </w:p>
        </w:tc>
        <w:tc>
          <w:tcPr>
            <w:tcW w:w="1516" w:type="dxa"/>
          </w:tcPr>
          <w:p w:rsidR="00B74704" w:rsidRPr="00D30FBC" w:rsidRDefault="00D30FBC" w:rsidP="00B7470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30FBC">
              <w:rPr>
                <w:rFonts w:ascii="Arial" w:hAnsi="Arial" w:cs="Arial"/>
                <w:i/>
                <w:sz w:val="20"/>
                <w:szCs w:val="20"/>
              </w:rPr>
              <w:t>20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30FBC">
              <w:rPr>
                <w:rFonts w:ascii="Arial" w:hAnsi="Arial" w:cs="Arial"/>
                <w:i/>
                <w:sz w:val="20"/>
                <w:szCs w:val="20"/>
              </w:rPr>
              <w:t>588</w:t>
            </w:r>
          </w:p>
        </w:tc>
        <w:tc>
          <w:tcPr>
            <w:tcW w:w="1517" w:type="dxa"/>
          </w:tcPr>
          <w:p w:rsidR="00B74704" w:rsidRPr="00D30FBC" w:rsidRDefault="00D30FBC" w:rsidP="00B7470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30FBC">
              <w:rPr>
                <w:rFonts w:ascii="Arial" w:hAnsi="Arial" w:cs="Arial"/>
                <w:i/>
                <w:sz w:val="20"/>
                <w:szCs w:val="20"/>
              </w:rPr>
              <w:t>30.85</w:t>
            </w:r>
          </w:p>
        </w:tc>
      </w:tr>
      <w:tr w:rsidR="00D30FBC" w:rsidRPr="00D30FBC" w:rsidTr="00B74704">
        <w:tc>
          <w:tcPr>
            <w:tcW w:w="3510" w:type="dxa"/>
          </w:tcPr>
          <w:p w:rsidR="00D30FBC" w:rsidRPr="00D30FBC" w:rsidRDefault="00D30FBC" w:rsidP="00B747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30FBC">
              <w:rPr>
                <w:rFonts w:ascii="Arial" w:hAnsi="Arial" w:cs="Arial"/>
                <w:i/>
                <w:sz w:val="20"/>
                <w:szCs w:val="20"/>
              </w:rPr>
              <w:t>Financial income</w:t>
            </w:r>
          </w:p>
        </w:tc>
        <w:tc>
          <w:tcPr>
            <w:tcW w:w="1516" w:type="dxa"/>
          </w:tcPr>
          <w:p w:rsidR="00D30FBC" w:rsidRPr="00D30FBC" w:rsidRDefault="00D30FBC" w:rsidP="00B7470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30FBC">
              <w:rPr>
                <w:rFonts w:ascii="Arial" w:hAnsi="Arial" w:cs="Arial"/>
                <w:i/>
                <w:sz w:val="20"/>
                <w:szCs w:val="20"/>
              </w:rPr>
              <w:t>157</w:t>
            </w:r>
          </w:p>
        </w:tc>
        <w:tc>
          <w:tcPr>
            <w:tcW w:w="1517" w:type="dxa"/>
          </w:tcPr>
          <w:p w:rsidR="00D30FBC" w:rsidRPr="00D30FBC" w:rsidRDefault="00D30FBC" w:rsidP="00B7470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30FBC">
              <w:rPr>
                <w:rFonts w:ascii="Arial" w:hAnsi="Arial" w:cs="Arial"/>
                <w:i/>
                <w:sz w:val="20"/>
                <w:szCs w:val="20"/>
              </w:rPr>
              <w:t>19</w:t>
            </w:r>
          </w:p>
        </w:tc>
        <w:tc>
          <w:tcPr>
            <w:tcW w:w="1516" w:type="dxa"/>
          </w:tcPr>
          <w:p w:rsidR="00D30FBC" w:rsidRPr="00D30FBC" w:rsidRDefault="00D30FBC" w:rsidP="00B7470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138</w:t>
            </w:r>
          </w:p>
        </w:tc>
        <w:tc>
          <w:tcPr>
            <w:tcW w:w="1517" w:type="dxa"/>
          </w:tcPr>
          <w:p w:rsidR="00D30FBC" w:rsidRPr="00D30FBC" w:rsidRDefault="00D30FBC" w:rsidP="00B7470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30FBC">
              <w:rPr>
                <w:rFonts w:ascii="Arial" w:hAnsi="Arial" w:cs="Arial"/>
                <w:i/>
                <w:sz w:val="20"/>
                <w:szCs w:val="20"/>
              </w:rPr>
              <w:t>726.32</w:t>
            </w:r>
          </w:p>
        </w:tc>
      </w:tr>
      <w:tr w:rsidR="00D30FBC" w:rsidRPr="00D30FBC" w:rsidTr="00B74704">
        <w:tc>
          <w:tcPr>
            <w:tcW w:w="3510" w:type="dxa"/>
          </w:tcPr>
          <w:p w:rsidR="00D30FBC" w:rsidRPr="00D30FBC" w:rsidRDefault="00D30FBC" w:rsidP="00B747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30FBC">
              <w:rPr>
                <w:rFonts w:ascii="Arial" w:hAnsi="Arial" w:cs="Arial"/>
                <w:i/>
                <w:sz w:val="20"/>
                <w:szCs w:val="20"/>
              </w:rPr>
              <w:t>Other income</w:t>
            </w:r>
          </w:p>
        </w:tc>
        <w:tc>
          <w:tcPr>
            <w:tcW w:w="1516" w:type="dxa"/>
          </w:tcPr>
          <w:p w:rsidR="00D30FBC" w:rsidRPr="00D30FBC" w:rsidRDefault="00D30FBC" w:rsidP="00B7470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30FBC">
              <w:rPr>
                <w:rFonts w:ascii="Arial" w:hAnsi="Arial" w:cs="Arial"/>
                <w:i/>
                <w:sz w:val="20"/>
                <w:szCs w:val="20"/>
              </w:rPr>
              <w:t>19</w:t>
            </w:r>
          </w:p>
        </w:tc>
        <w:tc>
          <w:tcPr>
            <w:tcW w:w="1517" w:type="dxa"/>
          </w:tcPr>
          <w:p w:rsidR="00D30FBC" w:rsidRPr="00D30FBC" w:rsidRDefault="00D30FBC" w:rsidP="00B7470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2,738</w:t>
            </w:r>
          </w:p>
        </w:tc>
        <w:tc>
          <w:tcPr>
            <w:tcW w:w="1516" w:type="dxa"/>
          </w:tcPr>
          <w:p w:rsidR="00D30FBC" w:rsidRPr="00D30FBC" w:rsidRDefault="00D30FBC" w:rsidP="00B7470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30FBC">
              <w:rPr>
                <w:rFonts w:ascii="Arial" w:hAnsi="Arial" w:cs="Arial"/>
                <w:i/>
                <w:sz w:val="20"/>
                <w:szCs w:val="20"/>
              </w:rPr>
              <w:t>(2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30FBC">
              <w:rPr>
                <w:rFonts w:ascii="Arial" w:hAnsi="Arial" w:cs="Arial"/>
                <w:i/>
                <w:sz w:val="20"/>
                <w:szCs w:val="20"/>
              </w:rPr>
              <w:t xml:space="preserve">719) </w:t>
            </w:r>
          </w:p>
        </w:tc>
        <w:tc>
          <w:tcPr>
            <w:tcW w:w="1517" w:type="dxa"/>
          </w:tcPr>
          <w:p w:rsidR="00D30FBC" w:rsidRPr="00D30FBC" w:rsidRDefault="00D30FBC" w:rsidP="00B7470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(99.31)</w:t>
            </w:r>
          </w:p>
        </w:tc>
      </w:tr>
      <w:tr w:rsidR="00D30FBC" w:rsidTr="00B74704">
        <w:tc>
          <w:tcPr>
            <w:tcW w:w="3510" w:type="dxa"/>
          </w:tcPr>
          <w:p w:rsidR="00D30FBC" w:rsidRPr="00D30FBC" w:rsidRDefault="00D30FBC" w:rsidP="00B74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expenses</w:t>
            </w:r>
          </w:p>
        </w:tc>
        <w:tc>
          <w:tcPr>
            <w:tcW w:w="1516" w:type="dxa"/>
          </w:tcPr>
          <w:p w:rsidR="00D30FBC" w:rsidRDefault="00D30FBC" w:rsidP="00B747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FBC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30FBC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  <w:tc>
          <w:tcPr>
            <w:tcW w:w="1517" w:type="dxa"/>
          </w:tcPr>
          <w:p w:rsidR="00D30FBC" w:rsidRDefault="00D30FBC" w:rsidP="00B747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FBC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30FBC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516" w:type="dxa"/>
          </w:tcPr>
          <w:p w:rsidR="00D30FBC" w:rsidRDefault="00D30FBC" w:rsidP="00B747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FB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30FBC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517" w:type="dxa"/>
          </w:tcPr>
          <w:p w:rsidR="00D30FBC" w:rsidRDefault="00D30FBC" w:rsidP="00B747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FBC">
              <w:rPr>
                <w:rFonts w:ascii="Arial" w:hAnsi="Arial" w:cs="Arial"/>
                <w:sz w:val="20"/>
                <w:szCs w:val="20"/>
              </w:rPr>
              <w:t>19.65</w:t>
            </w:r>
          </w:p>
        </w:tc>
      </w:tr>
      <w:tr w:rsidR="00D30FBC" w:rsidTr="00B74704">
        <w:tc>
          <w:tcPr>
            <w:tcW w:w="3510" w:type="dxa"/>
          </w:tcPr>
          <w:p w:rsidR="00D30FBC" w:rsidRDefault="00D30FBC" w:rsidP="00B74704">
            <w:pPr>
              <w:rPr>
                <w:rFonts w:ascii="Arial" w:hAnsi="Arial" w:cs="Arial"/>
                <w:sz w:val="20"/>
                <w:szCs w:val="20"/>
              </w:rPr>
            </w:pPr>
            <w:r w:rsidRPr="00D30FBC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516" w:type="dxa"/>
          </w:tcPr>
          <w:p w:rsidR="00D30FBC" w:rsidRDefault="00D30FBC" w:rsidP="00B747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FBC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30FBC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517" w:type="dxa"/>
          </w:tcPr>
          <w:p w:rsidR="00D30FBC" w:rsidRDefault="00D30FBC" w:rsidP="00B747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FBC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30FBC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1516" w:type="dxa"/>
          </w:tcPr>
          <w:p w:rsidR="00D30FBC" w:rsidRDefault="00D30FBC" w:rsidP="00B747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FBC">
              <w:rPr>
                <w:rFonts w:ascii="Arial" w:hAnsi="Arial" w:cs="Arial"/>
                <w:sz w:val="20"/>
                <w:szCs w:val="20"/>
              </w:rPr>
              <w:t>7,503</w:t>
            </w:r>
          </w:p>
        </w:tc>
        <w:tc>
          <w:tcPr>
            <w:tcW w:w="1517" w:type="dxa"/>
          </w:tcPr>
          <w:p w:rsidR="00D30FBC" w:rsidRDefault="00D30FBC" w:rsidP="00B747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FBC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30FBC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D30FBC" w:rsidTr="00B74704">
        <w:tc>
          <w:tcPr>
            <w:tcW w:w="3510" w:type="dxa"/>
          </w:tcPr>
          <w:p w:rsidR="00D30FBC" w:rsidRPr="00D30FBC" w:rsidRDefault="00D30FBC" w:rsidP="00B74704">
            <w:pPr>
              <w:rPr>
                <w:rFonts w:ascii="Arial" w:hAnsi="Arial" w:cs="Arial"/>
                <w:sz w:val="20"/>
                <w:szCs w:val="20"/>
              </w:rPr>
            </w:pPr>
            <w:r w:rsidRPr="00D30FBC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516" w:type="dxa"/>
          </w:tcPr>
          <w:p w:rsidR="00D30FBC" w:rsidRDefault="00D30FBC" w:rsidP="00B747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FBC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30FB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517" w:type="dxa"/>
          </w:tcPr>
          <w:p w:rsidR="00D30FBC" w:rsidRDefault="00D30FBC" w:rsidP="00B747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FB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30FBC">
              <w:rPr>
                <w:rFonts w:ascii="Arial" w:hAnsi="Arial" w:cs="Arial"/>
                <w:sz w:val="20"/>
                <w:szCs w:val="20"/>
              </w:rPr>
              <w:t>892</w:t>
            </w:r>
          </w:p>
        </w:tc>
        <w:tc>
          <w:tcPr>
            <w:tcW w:w="1516" w:type="dxa"/>
          </w:tcPr>
          <w:p w:rsidR="00D30FBC" w:rsidRDefault="00D30FBC" w:rsidP="00B747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FB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30FBC"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1517" w:type="dxa"/>
          </w:tcPr>
          <w:p w:rsidR="00D30FBC" w:rsidRDefault="00D30FBC" w:rsidP="00B747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FBC">
              <w:rPr>
                <w:rFonts w:ascii="Arial" w:hAnsi="Arial" w:cs="Arial"/>
                <w:sz w:val="20"/>
                <w:szCs w:val="20"/>
              </w:rPr>
              <w:t>46.52</w:t>
            </w:r>
          </w:p>
        </w:tc>
      </w:tr>
    </w:tbl>
    <w:p w:rsidR="005E7D98" w:rsidRPr="005E7D98" w:rsidRDefault="005E7D98" w:rsidP="005E7D98">
      <w:pPr>
        <w:rPr>
          <w:rFonts w:ascii="Arial" w:hAnsi="Arial" w:cs="Arial"/>
          <w:sz w:val="20"/>
          <w:szCs w:val="20"/>
        </w:rPr>
      </w:pPr>
      <w:r w:rsidRPr="005E7D98">
        <w:rPr>
          <w:rFonts w:ascii="Arial" w:hAnsi="Arial" w:cs="Arial"/>
          <w:sz w:val="20"/>
          <w:szCs w:val="20"/>
        </w:rPr>
        <w:t>The revenue growth rate is higher than the cost growth rate</w:t>
      </w:r>
      <w:r w:rsidR="000259A2">
        <w:rPr>
          <w:rFonts w:ascii="Arial" w:hAnsi="Arial" w:cs="Arial"/>
          <w:sz w:val="20"/>
          <w:szCs w:val="20"/>
        </w:rPr>
        <w:t xml:space="preserve"> that </w:t>
      </w:r>
      <w:r w:rsidRPr="005E7D98">
        <w:rPr>
          <w:rFonts w:ascii="Arial" w:hAnsi="Arial" w:cs="Arial"/>
          <w:sz w:val="20"/>
          <w:szCs w:val="20"/>
        </w:rPr>
        <w:t>makes the profit increase significantly compared to the same period last year mainly due to the following reasons:</w:t>
      </w:r>
    </w:p>
    <w:p w:rsidR="005E7D98" w:rsidRPr="005E7D98" w:rsidRDefault="005E7D98" w:rsidP="005E7D98">
      <w:pPr>
        <w:rPr>
          <w:rFonts w:ascii="Arial" w:hAnsi="Arial" w:cs="Arial"/>
          <w:sz w:val="20"/>
          <w:szCs w:val="20"/>
        </w:rPr>
      </w:pPr>
      <w:r w:rsidRPr="005E7D98">
        <w:rPr>
          <w:rFonts w:ascii="Arial" w:hAnsi="Arial" w:cs="Arial"/>
          <w:sz w:val="20"/>
          <w:szCs w:val="20"/>
        </w:rPr>
        <w:t xml:space="preserve">The number of tourists in Da Nang and Nha Trang </w:t>
      </w:r>
      <w:r w:rsidR="000259A2" w:rsidRPr="005E7D98">
        <w:rPr>
          <w:rFonts w:ascii="Arial" w:hAnsi="Arial" w:cs="Arial"/>
          <w:sz w:val="20"/>
          <w:szCs w:val="20"/>
        </w:rPr>
        <w:t xml:space="preserve">sharply </w:t>
      </w:r>
      <w:r w:rsidRPr="005E7D98">
        <w:rPr>
          <w:rFonts w:ascii="Arial" w:hAnsi="Arial" w:cs="Arial"/>
          <w:sz w:val="20"/>
          <w:szCs w:val="20"/>
        </w:rPr>
        <w:t xml:space="preserve">increased over the same period, so the company's revenue grew mainly in the field of international food and </w:t>
      </w:r>
      <w:r w:rsidR="000259A2">
        <w:rPr>
          <w:rFonts w:ascii="Arial" w:hAnsi="Arial" w:cs="Arial"/>
          <w:sz w:val="20"/>
          <w:szCs w:val="20"/>
        </w:rPr>
        <w:t>airport</w:t>
      </w:r>
      <w:r w:rsidRPr="005E7D98">
        <w:rPr>
          <w:rFonts w:ascii="Arial" w:hAnsi="Arial" w:cs="Arial"/>
          <w:sz w:val="20"/>
          <w:szCs w:val="20"/>
        </w:rPr>
        <w:t xml:space="preserve"> </w:t>
      </w:r>
      <w:r w:rsidR="000259A2">
        <w:rPr>
          <w:rFonts w:ascii="Arial" w:hAnsi="Arial" w:cs="Arial"/>
          <w:sz w:val="20"/>
          <w:szCs w:val="20"/>
        </w:rPr>
        <w:t>sale</w:t>
      </w:r>
      <w:r w:rsidRPr="005E7D98">
        <w:rPr>
          <w:rFonts w:ascii="Arial" w:hAnsi="Arial" w:cs="Arial"/>
          <w:sz w:val="20"/>
          <w:szCs w:val="20"/>
        </w:rPr>
        <w:t>.</w:t>
      </w:r>
    </w:p>
    <w:p w:rsidR="005E7D98" w:rsidRPr="005E7D98" w:rsidRDefault="005E7D98" w:rsidP="005E7D98">
      <w:pPr>
        <w:rPr>
          <w:rFonts w:ascii="Arial" w:hAnsi="Arial" w:cs="Arial"/>
          <w:sz w:val="20"/>
          <w:szCs w:val="20"/>
        </w:rPr>
      </w:pPr>
      <w:r w:rsidRPr="005E7D98">
        <w:rPr>
          <w:rFonts w:ascii="Arial" w:hAnsi="Arial" w:cs="Arial"/>
          <w:sz w:val="20"/>
          <w:szCs w:val="20"/>
        </w:rPr>
        <w:t xml:space="preserve">The total cost has increased with the increase in revenue, but the revenue growth rate is higher than the cost </w:t>
      </w:r>
      <w:r w:rsidR="00C07AAC" w:rsidRPr="005E7D98">
        <w:rPr>
          <w:rFonts w:ascii="Arial" w:hAnsi="Arial" w:cs="Arial"/>
          <w:sz w:val="20"/>
          <w:szCs w:val="20"/>
        </w:rPr>
        <w:t xml:space="preserve">growth rate </w:t>
      </w:r>
      <w:r w:rsidRPr="005E7D98">
        <w:rPr>
          <w:rFonts w:ascii="Arial" w:hAnsi="Arial" w:cs="Arial"/>
          <w:sz w:val="20"/>
          <w:szCs w:val="20"/>
        </w:rPr>
        <w:t xml:space="preserve">(revenue growth rate is 25.91%, cost </w:t>
      </w:r>
      <w:r w:rsidR="00D97B31" w:rsidRPr="005E7D98">
        <w:rPr>
          <w:rFonts w:ascii="Arial" w:hAnsi="Arial" w:cs="Arial"/>
          <w:sz w:val="20"/>
          <w:szCs w:val="20"/>
        </w:rPr>
        <w:t xml:space="preserve">growth rate </w:t>
      </w:r>
      <w:r w:rsidR="00D97B31">
        <w:rPr>
          <w:rFonts w:ascii="Arial" w:hAnsi="Arial" w:cs="Arial"/>
          <w:sz w:val="20"/>
          <w:szCs w:val="20"/>
        </w:rPr>
        <w:t xml:space="preserve">is </w:t>
      </w:r>
      <w:r w:rsidRPr="005E7D98">
        <w:rPr>
          <w:rFonts w:ascii="Arial" w:hAnsi="Arial" w:cs="Arial"/>
          <w:sz w:val="20"/>
          <w:szCs w:val="20"/>
        </w:rPr>
        <w:t>19.65%) contribut</w:t>
      </w:r>
      <w:r w:rsidR="00D97B31">
        <w:rPr>
          <w:rFonts w:ascii="Arial" w:hAnsi="Arial" w:cs="Arial"/>
          <w:sz w:val="20"/>
          <w:szCs w:val="20"/>
        </w:rPr>
        <w:t>ing</w:t>
      </w:r>
      <w:r w:rsidRPr="005E7D98">
        <w:rPr>
          <w:rFonts w:ascii="Arial" w:hAnsi="Arial" w:cs="Arial"/>
          <w:sz w:val="20"/>
          <w:szCs w:val="20"/>
        </w:rPr>
        <w:t xml:space="preserve"> to the </w:t>
      </w:r>
      <w:r w:rsidR="00D97B31" w:rsidRPr="005E7D98">
        <w:rPr>
          <w:rFonts w:ascii="Arial" w:hAnsi="Arial" w:cs="Arial"/>
          <w:sz w:val="20"/>
          <w:szCs w:val="20"/>
        </w:rPr>
        <w:t>increase</w:t>
      </w:r>
      <w:r w:rsidR="00D97B31">
        <w:rPr>
          <w:rFonts w:ascii="Arial" w:hAnsi="Arial" w:cs="Arial"/>
          <w:sz w:val="20"/>
          <w:szCs w:val="20"/>
        </w:rPr>
        <w:t xml:space="preserve"> in </w:t>
      </w:r>
      <w:r w:rsidRPr="005E7D98">
        <w:rPr>
          <w:rFonts w:ascii="Arial" w:hAnsi="Arial" w:cs="Arial"/>
          <w:sz w:val="20"/>
          <w:szCs w:val="20"/>
        </w:rPr>
        <w:t xml:space="preserve">profit before tax </w:t>
      </w:r>
      <w:r w:rsidR="00D97B31">
        <w:rPr>
          <w:rFonts w:ascii="Arial" w:hAnsi="Arial" w:cs="Arial"/>
          <w:sz w:val="20"/>
          <w:szCs w:val="20"/>
        </w:rPr>
        <w:t xml:space="preserve">by </w:t>
      </w:r>
      <w:r w:rsidRPr="005E7D98">
        <w:rPr>
          <w:rFonts w:ascii="Arial" w:hAnsi="Arial" w:cs="Arial"/>
          <w:sz w:val="20"/>
          <w:szCs w:val="20"/>
        </w:rPr>
        <w:t xml:space="preserve">46.79% over the same period in 2016. In addition, the </w:t>
      </w:r>
      <w:r w:rsidR="00D97B31">
        <w:rPr>
          <w:rFonts w:ascii="Arial" w:hAnsi="Arial" w:cs="Arial"/>
          <w:sz w:val="20"/>
          <w:szCs w:val="20"/>
        </w:rPr>
        <w:t>C</w:t>
      </w:r>
      <w:r w:rsidRPr="005E7D98">
        <w:rPr>
          <w:rFonts w:ascii="Arial" w:hAnsi="Arial" w:cs="Arial"/>
          <w:sz w:val="20"/>
          <w:szCs w:val="20"/>
        </w:rPr>
        <w:t xml:space="preserve">ompany </w:t>
      </w:r>
      <w:r w:rsidR="00D97B31">
        <w:rPr>
          <w:rFonts w:ascii="Arial" w:hAnsi="Arial" w:cs="Arial"/>
          <w:sz w:val="20"/>
          <w:szCs w:val="20"/>
        </w:rPr>
        <w:t>inspected</w:t>
      </w:r>
      <w:r w:rsidRPr="005E7D98">
        <w:rPr>
          <w:rFonts w:ascii="Arial" w:hAnsi="Arial" w:cs="Arial"/>
          <w:sz w:val="20"/>
          <w:szCs w:val="20"/>
        </w:rPr>
        <w:t xml:space="preserve"> </w:t>
      </w:r>
      <w:r w:rsidR="00D97B31">
        <w:rPr>
          <w:rFonts w:ascii="Arial" w:hAnsi="Arial" w:cs="Arial"/>
          <w:sz w:val="20"/>
          <w:szCs w:val="20"/>
        </w:rPr>
        <w:t>the</w:t>
      </w:r>
      <w:r w:rsidRPr="005E7D98">
        <w:rPr>
          <w:rFonts w:ascii="Arial" w:hAnsi="Arial" w:cs="Arial"/>
          <w:sz w:val="20"/>
          <w:szCs w:val="20"/>
        </w:rPr>
        <w:t xml:space="preserve"> </w:t>
      </w:r>
      <w:r w:rsidR="00D97B31" w:rsidRPr="005E7D98">
        <w:rPr>
          <w:rFonts w:ascii="Arial" w:hAnsi="Arial" w:cs="Arial"/>
          <w:sz w:val="20"/>
          <w:szCs w:val="20"/>
        </w:rPr>
        <w:t>inappropriate</w:t>
      </w:r>
      <w:r w:rsidR="00D97B31">
        <w:rPr>
          <w:rFonts w:ascii="Arial" w:hAnsi="Arial" w:cs="Arial"/>
          <w:sz w:val="20"/>
          <w:szCs w:val="20"/>
        </w:rPr>
        <w:t xml:space="preserve"> </w:t>
      </w:r>
      <w:r w:rsidRPr="005E7D98">
        <w:rPr>
          <w:rFonts w:ascii="Arial" w:hAnsi="Arial" w:cs="Arial"/>
          <w:sz w:val="20"/>
          <w:szCs w:val="20"/>
        </w:rPr>
        <w:t>consumption norms in production and adjusted during the year, thoroughly implement</w:t>
      </w:r>
      <w:r w:rsidR="00C1544B">
        <w:rPr>
          <w:rFonts w:ascii="Arial" w:hAnsi="Arial" w:cs="Arial"/>
          <w:sz w:val="20"/>
          <w:szCs w:val="20"/>
        </w:rPr>
        <w:t>ed</w:t>
      </w:r>
      <w:r w:rsidRPr="005E7D98">
        <w:rPr>
          <w:rFonts w:ascii="Arial" w:hAnsi="Arial" w:cs="Arial"/>
          <w:sz w:val="20"/>
          <w:szCs w:val="20"/>
        </w:rPr>
        <w:t xml:space="preserve"> the savings movement </w:t>
      </w:r>
      <w:r w:rsidR="00C1544B">
        <w:rPr>
          <w:rFonts w:ascii="Arial" w:hAnsi="Arial" w:cs="Arial"/>
          <w:sz w:val="20"/>
          <w:szCs w:val="20"/>
        </w:rPr>
        <w:t>throughout t</w:t>
      </w:r>
      <w:r w:rsidRPr="005E7D98">
        <w:rPr>
          <w:rFonts w:ascii="Arial" w:hAnsi="Arial" w:cs="Arial"/>
          <w:sz w:val="20"/>
          <w:szCs w:val="20"/>
        </w:rPr>
        <w:t>he Company</w:t>
      </w:r>
      <w:r w:rsidR="00C1544B">
        <w:rPr>
          <w:rFonts w:ascii="Arial" w:hAnsi="Arial" w:cs="Arial"/>
          <w:sz w:val="20"/>
          <w:szCs w:val="20"/>
        </w:rPr>
        <w:t>,</w:t>
      </w:r>
      <w:r w:rsidRPr="005E7D98">
        <w:rPr>
          <w:rFonts w:ascii="Arial" w:hAnsi="Arial" w:cs="Arial"/>
          <w:sz w:val="20"/>
          <w:szCs w:val="20"/>
        </w:rPr>
        <w:t xml:space="preserve"> </w:t>
      </w:r>
      <w:r w:rsidR="00C1544B">
        <w:rPr>
          <w:rFonts w:ascii="Arial" w:hAnsi="Arial" w:cs="Arial"/>
          <w:sz w:val="20"/>
          <w:szCs w:val="20"/>
        </w:rPr>
        <w:t xml:space="preserve">so </w:t>
      </w:r>
      <w:r w:rsidRPr="005E7D98">
        <w:rPr>
          <w:rFonts w:ascii="Arial" w:hAnsi="Arial" w:cs="Arial"/>
          <w:sz w:val="20"/>
          <w:szCs w:val="20"/>
        </w:rPr>
        <w:t>the cost of materials, cost of goods and some assets that have been depreciated but still in use</w:t>
      </w:r>
      <w:r w:rsidR="00C1544B">
        <w:rPr>
          <w:rFonts w:ascii="Arial" w:hAnsi="Arial" w:cs="Arial"/>
          <w:sz w:val="20"/>
          <w:szCs w:val="20"/>
        </w:rPr>
        <w:t xml:space="preserve"> reduced</w:t>
      </w:r>
      <w:r w:rsidRPr="005E7D98">
        <w:rPr>
          <w:rFonts w:ascii="Arial" w:hAnsi="Arial" w:cs="Arial"/>
          <w:sz w:val="20"/>
          <w:szCs w:val="20"/>
        </w:rPr>
        <w:t xml:space="preserve">, </w:t>
      </w:r>
      <w:r w:rsidR="006E1EA4">
        <w:rPr>
          <w:rFonts w:ascii="Arial" w:hAnsi="Arial" w:cs="Arial"/>
          <w:sz w:val="20"/>
          <w:szCs w:val="20"/>
        </w:rPr>
        <w:t xml:space="preserve">and </w:t>
      </w:r>
      <w:r w:rsidRPr="005E7D98">
        <w:rPr>
          <w:rFonts w:ascii="Arial" w:hAnsi="Arial" w:cs="Arial"/>
          <w:sz w:val="20"/>
          <w:szCs w:val="20"/>
        </w:rPr>
        <w:t xml:space="preserve">depreciation expense is lower than </w:t>
      </w:r>
      <w:r w:rsidR="00C1544B">
        <w:rPr>
          <w:rFonts w:ascii="Arial" w:hAnsi="Arial" w:cs="Arial"/>
          <w:sz w:val="20"/>
          <w:szCs w:val="20"/>
        </w:rPr>
        <w:t xml:space="preserve">that of </w:t>
      </w:r>
      <w:r w:rsidRPr="005E7D98">
        <w:rPr>
          <w:rFonts w:ascii="Arial" w:hAnsi="Arial" w:cs="Arial"/>
          <w:sz w:val="20"/>
          <w:szCs w:val="20"/>
        </w:rPr>
        <w:t>the same period last year.</w:t>
      </w:r>
    </w:p>
    <w:p w:rsidR="005E7D98" w:rsidRPr="005E7D98" w:rsidRDefault="00FA01F8" w:rsidP="005E7D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E7D98" w:rsidRPr="005E7D98">
        <w:rPr>
          <w:rFonts w:ascii="Arial" w:hAnsi="Arial" w:cs="Arial"/>
          <w:sz w:val="20"/>
          <w:szCs w:val="20"/>
        </w:rPr>
        <w:t xml:space="preserve">he above causes has made </w:t>
      </w:r>
      <w:r>
        <w:rPr>
          <w:rFonts w:ascii="Arial" w:hAnsi="Arial" w:cs="Arial"/>
          <w:sz w:val="20"/>
          <w:szCs w:val="20"/>
        </w:rPr>
        <w:t>the</w:t>
      </w:r>
      <w:r w:rsidR="005E7D98" w:rsidRPr="005E7D98">
        <w:rPr>
          <w:rFonts w:ascii="Arial" w:hAnsi="Arial" w:cs="Arial"/>
          <w:sz w:val="20"/>
          <w:szCs w:val="20"/>
        </w:rPr>
        <w:t xml:space="preserve"> profit before tax </w:t>
      </w:r>
      <w:r>
        <w:rPr>
          <w:rFonts w:ascii="Arial" w:hAnsi="Arial" w:cs="Arial"/>
          <w:sz w:val="20"/>
          <w:szCs w:val="20"/>
        </w:rPr>
        <w:t xml:space="preserve">of the first quarter of 2017 </w:t>
      </w:r>
      <w:r w:rsidR="005E7D98" w:rsidRPr="005E7D98">
        <w:rPr>
          <w:rFonts w:ascii="Arial" w:hAnsi="Arial" w:cs="Arial"/>
          <w:sz w:val="20"/>
          <w:szCs w:val="20"/>
        </w:rPr>
        <w:t xml:space="preserve">increase 46.79%, </w:t>
      </w:r>
      <w:r>
        <w:rPr>
          <w:rFonts w:ascii="Arial" w:hAnsi="Arial" w:cs="Arial"/>
          <w:sz w:val="20"/>
          <w:szCs w:val="20"/>
        </w:rPr>
        <w:t>the</w:t>
      </w:r>
      <w:r w:rsidR="005E7D98" w:rsidRPr="005E7D98">
        <w:rPr>
          <w:rFonts w:ascii="Arial" w:hAnsi="Arial" w:cs="Arial"/>
          <w:sz w:val="20"/>
          <w:szCs w:val="20"/>
        </w:rPr>
        <w:t xml:space="preserve"> profit after tax increase 46.52% over the same period in 2016.</w:t>
      </w:r>
    </w:p>
    <w:p w:rsidR="00B74704" w:rsidRPr="00AD7796" w:rsidRDefault="00FA01F8" w:rsidP="005E7D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foregoing is </w:t>
      </w:r>
      <w:r w:rsidR="005E7D98" w:rsidRPr="005E7D98">
        <w:rPr>
          <w:rFonts w:ascii="Arial" w:hAnsi="Arial" w:cs="Arial"/>
          <w:sz w:val="20"/>
          <w:szCs w:val="20"/>
        </w:rPr>
        <w:t>some exp</w:t>
      </w:r>
      <w:r>
        <w:rPr>
          <w:rFonts w:ascii="Arial" w:hAnsi="Arial" w:cs="Arial"/>
          <w:sz w:val="20"/>
          <w:szCs w:val="20"/>
        </w:rPr>
        <w:t>lanation</w:t>
      </w:r>
      <w:r w:rsidR="005E7D98" w:rsidRPr="005E7D98">
        <w:rPr>
          <w:rFonts w:ascii="Arial" w:hAnsi="Arial" w:cs="Arial"/>
          <w:sz w:val="20"/>
          <w:szCs w:val="20"/>
        </w:rPr>
        <w:t xml:space="preserve">s of the Company about the </w:t>
      </w:r>
      <w:r>
        <w:rPr>
          <w:rFonts w:ascii="Arial" w:hAnsi="Arial" w:cs="Arial"/>
          <w:sz w:val="20"/>
          <w:szCs w:val="20"/>
        </w:rPr>
        <w:t xml:space="preserve">realized </w:t>
      </w:r>
      <w:r w:rsidR="005E7D98" w:rsidRPr="005E7D98">
        <w:rPr>
          <w:rFonts w:ascii="Arial" w:hAnsi="Arial" w:cs="Arial"/>
          <w:sz w:val="20"/>
          <w:szCs w:val="20"/>
        </w:rPr>
        <w:t xml:space="preserve">profit in the first quarter of 2017 in the consolidated financial </w:t>
      </w:r>
      <w:r>
        <w:rPr>
          <w:rFonts w:ascii="Arial" w:hAnsi="Arial" w:cs="Arial"/>
          <w:sz w:val="20"/>
          <w:szCs w:val="20"/>
        </w:rPr>
        <w:t>statement incr</w:t>
      </w:r>
      <w:r w:rsidR="005E7D98" w:rsidRPr="005E7D98">
        <w:rPr>
          <w:rFonts w:ascii="Arial" w:hAnsi="Arial" w:cs="Arial"/>
          <w:sz w:val="20"/>
          <w:szCs w:val="20"/>
        </w:rPr>
        <w:t>eased more than 10% over the same period in 2016.</w:t>
      </w:r>
    </w:p>
    <w:sectPr w:rsidR="00B74704" w:rsidRPr="00AD7796" w:rsidSect="0071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05488"/>
    <w:rsid w:val="000259A2"/>
    <w:rsid w:val="000F393F"/>
    <w:rsid w:val="00177824"/>
    <w:rsid w:val="001D5DF4"/>
    <w:rsid w:val="001E4618"/>
    <w:rsid w:val="002D1A5A"/>
    <w:rsid w:val="002F73AB"/>
    <w:rsid w:val="00365F36"/>
    <w:rsid w:val="003C42B0"/>
    <w:rsid w:val="003E5FBB"/>
    <w:rsid w:val="004507D5"/>
    <w:rsid w:val="004878CB"/>
    <w:rsid w:val="0049165F"/>
    <w:rsid w:val="00510607"/>
    <w:rsid w:val="00513676"/>
    <w:rsid w:val="00577FBD"/>
    <w:rsid w:val="005D7224"/>
    <w:rsid w:val="005E7D98"/>
    <w:rsid w:val="006A3D28"/>
    <w:rsid w:val="006E1EA4"/>
    <w:rsid w:val="00713E65"/>
    <w:rsid w:val="00791706"/>
    <w:rsid w:val="008056FA"/>
    <w:rsid w:val="0084057E"/>
    <w:rsid w:val="008B0163"/>
    <w:rsid w:val="008E7602"/>
    <w:rsid w:val="009D71C1"/>
    <w:rsid w:val="00A03127"/>
    <w:rsid w:val="00A56205"/>
    <w:rsid w:val="00A62517"/>
    <w:rsid w:val="00AD7796"/>
    <w:rsid w:val="00B05488"/>
    <w:rsid w:val="00B178CD"/>
    <w:rsid w:val="00B74704"/>
    <w:rsid w:val="00B93D4D"/>
    <w:rsid w:val="00C01E56"/>
    <w:rsid w:val="00C07AAC"/>
    <w:rsid w:val="00C14F98"/>
    <w:rsid w:val="00C1544B"/>
    <w:rsid w:val="00CE584D"/>
    <w:rsid w:val="00D30FBC"/>
    <w:rsid w:val="00D400FF"/>
    <w:rsid w:val="00D97B31"/>
    <w:rsid w:val="00DE2259"/>
    <w:rsid w:val="00E40A80"/>
    <w:rsid w:val="00E949FB"/>
    <w:rsid w:val="00EE78BA"/>
    <w:rsid w:val="00F12948"/>
    <w:rsid w:val="00FA01F8"/>
    <w:rsid w:val="00F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E8566-2520-4D65-BAD6-695DB74C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70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15</cp:revision>
  <dcterms:created xsi:type="dcterms:W3CDTF">2017-05-17T11:31:00Z</dcterms:created>
  <dcterms:modified xsi:type="dcterms:W3CDTF">2017-05-18T01:49:00Z</dcterms:modified>
</cp:coreProperties>
</file>